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14 185 vom 27. Februar 2014</w:t>
      </w:r>
    </w:p>
    <w:p>
      <w:r>
        <w:t>BL Gerichte, 2014-02-27, DE</w:t>
      </w:r>
    </w:p>
    <w:p>
      <w:r>
        <w:rPr>
          <w:b/>
        </w:rPr>
        <w:t xml:space="preserve">Quelle: </w:t>
      </w:r>
      <w:r>
        <w:t>https://mcp.opencaselaw.ch/entscheid/bl_gerichte_725 14 185</w:t>
      </w:r>
    </w:p>
    <w:p>
      <w:r>
        <w:t>FR: BL_GERICHTE 725 14 185 du 27 février 2014</w:t>
      </w:r>
    </w:p>
    <w:p>
      <w:r>
        <w:t>IT: BL_GERICHTE 725 14 185 del 27 febbraio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20. Juni 2014 ist demnach einzutreten.</w:t>
      </w:r>
    </w:p>
    <w:p>
      <w:r>
        <w:rPr>
          <w:b/>
        </w:rPr>
        <w:t>E. 2</w:t>
      </w:r>
    </w:p>
    <w:p>
      <w:r>
        <w:t>Mit Verfügung vom 27. Februar 2014 resp. mit Einspracheentscheid vom 19. Mai 2014 stellte die Beschwerdegegnerin ihre Versicherungsleistungen betreffend das Unfallereignis vom 19. September 2012 per 30. November 2013 ein. Streitig und zu prüfen ist, ob der Beschwerdeführer über diesen Zeitpunkt hinaus weiterhin Anspruch auf Leistungen aus der obligatorischen Unfallversicherung hat.</w:t>
      </w:r>
    </w:p>
    <w:p>
      <w:r>
        <w:rPr>
          <w:b/>
        </w:rPr>
        <w:t>E. 3</w:t>
      </w:r>
    </w:p>
    <w:p>
      <w:r>
        <w:t>Die ausserordentlichen Kosten werden wettgeschlagen. Zufolge Bewilligung der unentgeltlichen Verbeiständung wird dem Rechtsvertreter des Beschwerdeführers ein Honorar in der Höhe von Fr. 3‘572.65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